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9B" w:rsidRDefault="004C149B" w:rsidP="004C149B">
      <w:pPr>
        <w:jc w:val="both"/>
        <w:rPr>
          <w:rtl/>
        </w:rPr>
      </w:pPr>
      <w:bookmarkStart w:id="0" w:name="_GoBack"/>
      <w:bookmarkEnd w:id="0"/>
    </w:p>
    <w:p w:rsidR="004C149B" w:rsidRDefault="004C149B" w:rsidP="004C149B">
      <w:pPr>
        <w:jc w:val="both"/>
        <w:rPr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Pr="004C149B" w:rsidRDefault="004C149B" w:rsidP="004C149B">
      <w:pPr>
        <w:rPr>
          <w:rFonts w:cs="David"/>
          <w:b/>
          <w:bCs/>
          <w:sz w:val="26"/>
          <w:szCs w:val="26"/>
          <w:u w:val="single"/>
          <w:rtl/>
        </w:rPr>
      </w:pPr>
      <w:r w:rsidRPr="004C149B">
        <w:rPr>
          <w:rFonts w:cs="David" w:hint="cs"/>
          <w:b/>
          <w:bCs/>
          <w:sz w:val="26"/>
          <w:szCs w:val="26"/>
          <w:u w:val="single"/>
          <w:rtl/>
        </w:rPr>
        <w:t>ריכוז החלטות ועדת הרכישות המרכזית מיום 20/11/2016 להתקשרויות פטורות ממכרז:</w:t>
      </w:r>
    </w:p>
    <w:p w:rsidR="004C149B" w:rsidRPr="0090180A" w:rsidRDefault="004C149B" w:rsidP="004C149B">
      <w:pPr>
        <w:jc w:val="both"/>
        <w:rPr>
          <w:rFonts w:cs="David"/>
          <w:b/>
          <w:bCs/>
          <w:sz w:val="32"/>
          <w:szCs w:val="32"/>
          <w:highlight w:val="lightGray"/>
          <w:u w:val="single"/>
        </w:rPr>
      </w:pPr>
    </w:p>
    <w:p w:rsidR="004C149B" w:rsidRDefault="004C149B" w:rsidP="004C149B">
      <w:pPr>
        <w:jc w:val="both"/>
        <w:rPr>
          <w:rFonts w:cs="David"/>
          <w:sz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rtl/>
        </w:rPr>
      </w:pPr>
    </w:p>
    <w:p w:rsidR="004C149B" w:rsidRPr="00F501EB" w:rsidRDefault="004C149B" w:rsidP="004C149B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501EB">
        <w:rPr>
          <w:rFonts w:cs="David" w:hint="cs"/>
          <w:b/>
          <w:bCs/>
          <w:sz w:val="26"/>
          <w:szCs w:val="26"/>
          <w:u w:val="single"/>
          <w:rtl/>
        </w:rPr>
        <w:t>תחזוקת מערכת גילוי וכיבוי אש בבית המיון בת"א - דרישה 126329</w:t>
      </w:r>
    </w:p>
    <w:p w:rsidR="004C149B" w:rsidRPr="00875577" w:rsidRDefault="004C149B" w:rsidP="004C149B">
      <w:pPr>
        <w:jc w:val="both"/>
        <w:rPr>
          <w:rtl/>
        </w:rPr>
      </w:pPr>
    </w:p>
    <w:p w:rsidR="004C149B" w:rsidRDefault="00FB6743" w:rsidP="004C149B">
      <w:pPr>
        <w:pStyle w:val="a3"/>
        <w:numPr>
          <w:ilvl w:val="0"/>
          <w:numId w:val="3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מאושרת</w:t>
      </w:r>
      <w:r w:rsidR="004C149B">
        <w:rPr>
          <w:rFonts w:cs="David" w:hint="cs"/>
          <w:sz w:val="26"/>
          <w:szCs w:val="26"/>
          <w:rtl/>
        </w:rPr>
        <w:t xml:space="preserve"> התקשרות ללא מכרז, בהתאם לתקנה 3(29) לתקנות חובת המכרזים, עם חברת 'ארדן מערכות גילוי וכיבוי אש </w:t>
      </w:r>
      <w:proofErr w:type="spellStart"/>
      <w:r w:rsidR="004C149B">
        <w:rPr>
          <w:rFonts w:cs="David" w:hint="cs"/>
          <w:sz w:val="26"/>
          <w:szCs w:val="26"/>
          <w:rtl/>
        </w:rPr>
        <w:t>יו.אל</w:t>
      </w:r>
      <w:proofErr w:type="spellEnd"/>
      <w:r w:rsidR="004C149B">
        <w:rPr>
          <w:rFonts w:cs="David" w:hint="cs"/>
          <w:sz w:val="26"/>
          <w:szCs w:val="26"/>
          <w:rtl/>
        </w:rPr>
        <w:t xml:space="preserve"> 2002 בע"מ', כמפורט להלן:</w:t>
      </w:r>
    </w:p>
    <w:p w:rsidR="004C149B" w:rsidRDefault="004C149B" w:rsidP="004C149B">
      <w:pPr>
        <w:pStyle w:val="a3"/>
        <w:numPr>
          <w:ilvl w:val="0"/>
          <w:numId w:val="4"/>
        </w:numPr>
        <w:contextualSpacing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למתן שירותי תחזוקה שנתיים למערכת גילוי אש בבית המיון בתל-אביב, בסכום של 30,000 ₪ לשנה.</w:t>
      </w:r>
    </w:p>
    <w:p w:rsidR="004C149B" w:rsidRDefault="004C149B" w:rsidP="004C149B">
      <w:pPr>
        <w:pStyle w:val="a3"/>
        <w:numPr>
          <w:ilvl w:val="0"/>
          <w:numId w:val="4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לביצוע תיקונים, עבודות נוספות, שדרוג והרחבת המערכת, עפ"י דרישת חברת הדואר, בסכום מסגרת של עד 20,000 ₪ לשנה.</w:t>
      </w:r>
    </w:p>
    <w:p w:rsidR="004C149B" w:rsidRDefault="004C149B" w:rsidP="004C149B">
      <w:pPr>
        <w:pStyle w:val="a3"/>
        <w:numPr>
          <w:ilvl w:val="0"/>
          <w:numId w:val="3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תקופת ההתקשרות עד 3 שנים.</w:t>
      </w:r>
    </w:p>
    <w:p w:rsidR="004C149B" w:rsidRDefault="004C149B" w:rsidP="00FB6743">
      <w:pPr>
        <w:pStyle w:val="a3"/>
        <w:numPr>
          <w:ilvl w:val="0"/>
          <w:numId w:val="3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ההתקשרות מאושרת לאחר שפורסמה הודעה באתר החברה על כוונתה להתקשר עם חברת ארדן כספק יחיד לתחזוקת המערכת ולא התקבלה כל תגובה, ובהתאם למכתבו של מנהל </w:t>
      </w:r>
      <w:proofErr w:type="spellStart"/>
      <w:r>
        <w:rPr>
          <w:rFonts w:cs="David" w:hint="cs"/>
          <w:sz w:val="26"/>
          <w:szCs w:val="26"/>
          <w:rtl/>
        </w:rPr>
        <w:t>הבטחון</w:t>
      </w:r>
      <w:proofErr w:type="spellEnd"/>
      <w:r>
        <w:rPr>
          <w:rFonts w:cs="David" w:hint="cs"/>
          <w:sz w:val="26"/>
          <w:szCs w:val="26"/>
          <w:rtl/>
        </w:rPr>
        <w:t xml:space="preserve"> לפיו חברת ארדן הינה היחידה המסוגלת לספק את השירות למערכת גילוי וכיבוי אש בבית המיון בת"א.</w:t>
      </w:r>
    </w:p>
    <w:p w:rsidR="004C149B" w:rsidRPr="00142839" w:rsidRDefault="004C149B" w:rsidP="004C149B">
      <w:pPr>
        <w:pStyle w:val="a3"/>
        <w:numPr>
          <w:ilvl w:val="0"/>
          <w:numId w:val="3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ההתקשרות טעונה אישור מנכ"ל.</w:t>
      </w:r>
    </w:p>
    <w:p w:rsidR="004C149B" w:rsidRDefault="004C149B" w:rsidP="004C149B">
      <w:pPr>
        <w:pStyle w:val="a3"/>
        <w:ind w:left="717"/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pStyle w:val="a3"/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Pr="00F501EB" w:rsidRDefault="004C149B" w:rsidP="004C149B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שרותי תחזוקה למערכת מיזוג אויר במרכז </w:t>
      </w:r>
      <w:r w:rsidRPr="00F501EB">
        <w:rPr>
          <w:rFonts w:cs="David"/>
          <w:b/>
          <w:bCs/>
          <w:sz w:val="26"/>
          <w:szCs w:val="26"/>
          <w:u w:val="single"/>
          <w:rtl/>
        </w:rPr>
        <w:t>–</w:t>
      </w: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 דרישה 21012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עד לסיום הליכי המכרז, מאשרת הועדה להאריך את ההתקשרות עם '</w:t>
      </w:r>
      <w:proofErr w:type="spellStart"/>
      <w:r>
        <w:rPr>
          <w:rFonts w:cs="David" w:hint="cs"/>
          <w:sz w:val="26"/>
          <w:szCs w:val="26"/>
          <w:rtl/>
        </w:rPr>
        <w:t>ת.ד.ל</w:t>
      </w:r>
      <w:proofErr w:type="spellEnd"/>
      <w:r>
        <w:rPr>
          <w:rFonts w:cs="David" w:hint="cs"/>
          <w:sz w:val="26"/>
          <w:szCs w:val="26"/>
          <w:rtl/>
        </w:rPr>
        <w:t xml:space="preserve">. אחזקה ושירותים' לתחזוקת מערכת מיזוג אוויר (כולל חלקים) בחודשיים נוספים, בסכום של 64,346 ₪ בתוספת מע"מ. 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ההתקשרות פטורה ממכרז בהתאם לתקנה 34(2) לתקנות חובת המכרזים. </w:t>
      </w:r>
    </w:p>
    <w:p w:rsidR="004C149B" w:rsidRPr="00891780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pStyle w:val="1"/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Pr="00F501EB" w:rsidRDefault="004C149B" w:rsidP="004C149B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עבודות התאמה לדוורים בראשל"צ </w:t>
      </w:r>
      <w:r w:rsidRPr="00F501EB">
        <w:rPr>
          <w:rFonts w:cs="David"/>
          <w:b/>
          <w:bCs/>
          <w:sz w:val="26"/>
          <w:szCs w:val="26"/>
          <w:u w:val="single"/>
          <w:rtl/>
        </w:rPr>
        <w:t>–</w:t>
      </w: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 דרישה 104854</w:t>
      </w:r>
    </w:p>
    <w:p w:rsidR="004C149B" w:rsidRDefault="004C149B" w:rsidP="004C149B">
      <w:pPr>
        <w:ind w:left="360"/>
        <w:jc w:val="both"/>
        <w:rPr>
          <w:rFonts w:cs="David"/>
          <w:sz w:val="26"/>
          <w:szCs w:val="26"/>
          <w:rtl/>
        </w:rPr>
      </w:pPr>
    </w:p>
    <w:p w:rsidR="004C149B" w:rsidRDefault="00FB6743" w:rsidP="004C149B">
      <w:pPr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מאושרת</w:t>
      </w:r>
      <w:r w:rsidR="004C149B" w:rsidRPr="00C85B12">
        <w:rPr>
          <w:rFonts w:cs="David" w:hint="cs"/>
          <w:sz w:val="26"/>
          <w:szCs w:val="26"/>
          <w:rtl/>
        </w:rPr>
        <w:t xml:space="preserve"> הרחבת היקף ההתקשרות</w:t>
      </w:r>
      <w:r>
        <w:rPr>
          <w:rFonts w:cs="David" w:hint="cs"/>
          <w:sz w:val="26"/>
          <w:szCs w:val="26"/>
          <w:rtl/>
        </w:rPr>
        <w:t xml:space="preserve"> עם </w:t>
      </w:r>
      <w:proofErr w:type="spellStart"/>
      <w:r>
        <w:rPr>
          <w:rFonts w:cs="David" w:hint="cs"/>
          <w:sz w:val="26"/>
          <w:szCs w:val="26"/>
          <w:rtl/>
        </w:rPr>
        <w:t>באזא</w:t>
      </w:r>
      <w:proofErr w:type="spellEnd"/>
      <w:r>
        <w:rPr>
          <w:rFonts w:cs="David" w:hint="cs"/>
          <w:sz w:val="26"/>
          <w:szCs w:val="26"/>
          <w:rtl/>
        </w:rPr>
        <w:t xml:space="preserve"> פרויקטים</w:t>
      </w:r>
      <w:r w:rsidR="004C149B" w:rsidRPr="00C85B12">
        <w:rPr>
          <w:rFonts w:cs="David" w:hint="cs"/>
          <w:sz w:val="26"/>
          <w:szCs w:val="26"/>
          <w:rtl/>
        </w:rPr>
        <w:t xml:space="preserve">, בהתאם לתקנה 3(4) לתקנות חובת המכרזים,  בסכום של </w:t>
      </w:r>
      <w:r w:rsidR="004C149B">
        <w:rPr>
          <w:rFonts w:cs="David" w:hint="cs"/>
          <w:sz w:val="26"/>
          <w:szCs w:val="26"/>
          <w:rtl/>
        </w:rPr>
        <w:t>16,263</w:t>
      </w:r>
      <w:r w:rsidR="004C149B" w:rsidRPr="00C85B12">
        <w:rPr>
          <w:rFonts w:cs="David" w:hint="cs"/>
          <w:sz w:val="26"/>
          <w:szCs w:val="26"/>
          <w:rtl/>
        </w:rPr>
        <w:t>₪</w:t>
      </w:r>
      <w:r w:rsidR="004C149B">
        <w:rPr>
          <w:rFonts w:cs="David" w:hint="cs"/>
          <w:sz w:val="26"/>
          <w:szCs w:val="26"/>
          <w:rtl/>
        </w:rPr>
        <w:t>.</w:t>
      </w:r>
      <w:r w:rsidR="004C149B" w:rsidRPr="00C85B12">
        <w:rPr>
          <w:rFonts w:cs="David" w:hint="cs"/>
          <w:sz w:val="26"/>
          <w:szCs w:val="26"/>
          <w:rtl/>
        </w:rPr>
        <w:t xml:space="preserve"> </w:t>
      </w:r>
      <w:r w:rsidR="004C149B">
        <w:rPr>
          <w:rFonts w:cs="David" w:hint="cs"/>
          <w:sz w:val="26"/>
          <w:szCs w:val="26"/>
          <w:rtl/>
        </w:rPr>
        <w:t>סך התוספת המצטברת מהווה כ- 52% מסכום</w:t>
      </w:r>
      <w:r w:rsidR="004C149B" w:rsidRPr="00C85B12">
        <w:rPr>
          <w:rFonts w:cs="David" w:hint="cs"/>
          <w:sz w:val="26"/>
          <w:szCs w:val="26"/>
          <w:rtl/>
        </w:rPr>
        <w:t xml:space="preserve"> ההתקשרות המקורי. </w:t>
      </w:r>
    </w:p>
    <w:p w:rsidR="004C149B" w:rsidRPr="00C85B12" w:rsidRDefault="004C149B" w:rsidP="004C149B">
      <w:pPr>
        <w:pStyle w:val="a3"/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 w:rsidRPr="00C85B12">
        <w:rPr>
          <w:rFonts w:cs="David" w:hint="cs"/>
          <w:sz w:val="26"/>
          <w:szCs w:val="26"/>
          <w:rtl/>
        </w:rPr>
        <w:t>הרחבת ההתקשרות</w:t>
      </w:r>
      <w:r>
        <w:rPr>
          <w:rFonts w:cs="David" w:hint="cs"/>
          <w:sz w:val="26"/>
          <w:szCs w:val="26"/>
          <w:rtl/>
        </w:rPr>
        <w:t xml:space="preserve"> נדרשת עקב בניית חדר נוסף ו</w:t>
      </w:r>
      <w:r w:rsidRPr="00C85B12">
        <w:rPr>
          <w:rFonts w:cs="David" w:hint="cs"/>
          <w:sz w:val="26"/>
          <w:szCs w:val="26"/>
          <w:rtl/>
        </w:rPr>
        <w:t>מאושרת מטעמים של חסכון ויעילות.</w:t>
      </w:r>
    </w:p>
    <w:p w:rsidR="004C149B" w:rsidRDefault="004C149B" w:rsidP="004C149B">
      <w:pPr>
        <w:ind w:left="424"/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 w:rsidRPr="00C85B12">
        <w:rPr>
          <w:rFonts w:cs="David" w:hint="cs"/>
          <w:sz w:val="26"/>
          <w:szCs w:val="26"/>
          <w:rtl/>
        </w:rPr>
        <w:t xml:space="preserve">הגדלת היקף העבודות בפרויקט נבעה מכך שתוכנית השיפוץ הורחבה </w:t>
      </w:r>
      <w:r>
        <w:rPr>
          <w:rFonts w:cs="David" w:hint="cs"/>
          <w:sz w:val="26"/>
          <w:szCs w:val="26"/>
          <w:rtl/>
        </w:rPr>
        <w:t xml:space="preserve">וכללה גם שטח לדוורי חולון, דבר </w:t>
      </w:r>
      <w:r w:rsidRPr="00C85B12">
        <w:rPr>
          <w:rFonts w:cs="David" w:hint="cs"/>
          <w:sz w:val="26"/>
          <w:szCs w:val="26"/>
          <w:rtl/>
        </w:rPr>
        <w:t xml:space="preserve">שהגדיל את היקף שטח ההתאמה ל-1,190 מ"ר </w:t>
      </w:r>
      <w:r>
        <w:rPr>
          <w:rFonts w:cs="David" w:hint="cs"/>
          <w:sz w:val="26"/>
          <w:szCs w:val="26"/>
          <w:rtl/>
        </w:rPr>
        <w:t xml:space="preserve"> (</w:t>
      </w:r>
      <w:r w:rsidRPr="00C85B12">
        <w:rPr>
          <w:rFonts w:cs="David" w:hint="cs"/>
          <w:sz w:val="26"/>
          <w:szCs w:val="26"/>
          <w:rtl/>
        </w:rPr>
        <w:t>גידול של 105% בשטח המשופץ</w:t>
      </w:r>
      <w:r>
        <w:rPr>
          <w:rFonts w:cs="David" w:hint="cs"/>
          <w:sz w:val="26"/>
          <w:szCs w:val="26"/>
          <w:rtl/>
        </w:rPr>
        <w:t>).</w:t>
      </w: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FB6743" w:rsidRDefault="00FB6743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FB6743" w:rsidRDefault="00FB6743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FB6743" w:rsidRDefault="00FB6743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FB6743" w:rsidRDefault="00FB6743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Pr="00F501EB" w:rsidRDefault="004C149B" w:rsidP="004C149B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501EB">
        <w:rPr>
          <w:rFonts w:cs="David" w:hint="cs"/>
          <w:b/>
          <w:bCs/>
          <w:sz w:val="26"/>
          <w:szCs w:val="26"/>
          <w:u w:val="single"/>
          <w:rtl/>
        </w:rPr>
        <w:lastRenderedPageBreak/>
        <w:t xml:space="preserve">ייצור והתקנת מיגון לאנטנות </w:t>
      </w:r>
      <w:r w:rsidRPr="00F501EB">
        <w:rPr>
          <w:rFonts w:cs="David" w:hint="cs"/>
          <w:b/>
          <w:bCs/>
          <w:sz w:val="26"/>
          <w:szCs w:val="26"/>
          <w:u w:val="single"/>
        </w:rPr>
        <w:t>RFID</w:t>
      </w: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F501EB">
        <w:rPr>
          <w:rFonts w:cs="David"/>
          <w:b/>
          <w:bCs/>
          <w:sz w:val="26"/>
          <w:szCs w:val="26"/>
          <w:u w:val="single"/>
          <w:rtl/>
        </w:rPr>
        <w:t>–</w:t>
      </w: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 דרישה 124862</w:t>
      </w: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Pr="00FB6743" w:rsidRDefault="00FB6743" w:rsidP="00FB6743">
      <w:pPr>
        <w:contextualSpacing/>
        <w:jc w:val="both"/>
        <w:rPr>
          <w:rFonts w:cs="David"/>
          <w:sz w:val="26"/>
          <w:szCs w:val="26"/>
        </w:rPr>
      </w:pPr>
      <w:r w:rsidRPr="00FB6743">
        <w:rPr>
          <w:rFonts w:cs="David" w:hint="cs"/>
          <w:sz w:val="26"/>
          <w:szCs w:val="26"/>
          <w:rtl/>
        </w:rPr>
        <w:t>בהמשך להחלטת הועדה מיום 11.10.2016, מאשרת הועדה</w:t>
      </w:r>
      <w:r w:rsidR="004C149B" w:rsidRPr="00FB6743">
        <w:rPr>
          <w:rFonts w:cs="David" w:hint="cs"/>
          <w:sz w:val="26"/>
          <w:szCs w:val="26"/>
          <w:rtl/>
        </w:rPr>
        <w:t xml:space="preserve"> את המלצת אגף מערכות מידע לקבלת שירותי תחזוקה לאנטנות ע"פ קריאה, בעלות של 2,100 ₪ בתוספת מע"מ לכל עמוד או תחזוקה שנתית כוללת, שיטת התחזוקה תהיה באופן </w:t>
      </w:r>
      <w:proofErr w:type="spellStart"/>
      <w:r w:rsidR="004C149B" w:rsidRPr="00FB6743">
        <w:rPr>
          <w:rFonts w:cs="David" w:hint="cs"/>
          <w:sz w:val="26"/>
          <w:szCs w:val="26"/>
          <w:rtl/>
        </w:rPr>
        <w:t>המיטיבי</w:t>
      </w:r>
      <w:proofErr w:type="spellEnd"/>
      <w:r w:rsidR="004C149B" w:rsidRPr="00FB6743">
        <w:rPr>
          <w:rFonts w:cs="David" w:hint="cs"/>
          <w:sz w:val="26"/>
          <w:szCs w:val="26"/>
          <w:rtl/>
        </w:rPr>
        <w:t xml:space="preserve"> עם חברת הדואר.</w:t>
      </w:r>
    </w:p>
    <w:p w:rsidR="004C149B" w:rsidRPr="00FB6743" w:rsidRDefault="004C149B" w:rsidP="00FB6743">
      <w:pPr>
        <w:contextualSpacing/>
        <w:jc w:val="both"/>
        <w:rPr>
          <w:rFonts w:cs="David"/>
          <w:sz w:val="26"/>
          <w:szCs w:val="26"/>
          <w:rtl/>
        </w:rPr>
      </w:pPr>
      <w:r w:rsidRPr="00FB6743">
        <w:rPr>
          <w:rFonts w:cs="David" w:hint="cs"/>
          <w:sz w:val="26"/>
          <w:szCs w:val="26"/>
          <w:rtl/>
        </w:rPr>
        <w:t>חברת מוטורולה תספק אחריות לשנה למיגון האנטנות.</w:t>
      </w:r>
    </w:p>
    <w:p w:rsidR="004C149B" w:rsidRDefault="004C149B" w:rsidP="004C149B">
      <w:pPr>
        <w:pStyle w:val="1"/>
        <w:jc w:val="both"/>
        <w:rPr>
          <w:rFonts w:cs="David"/>
          <w:sz w:val="26"/>
          <w:szCs w:val="26"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Pr="00F501EB" w:rsidRDefault="004C149B" w:rsidP="004C149B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שירותי מוניות להובלת חבילות ודברי דואר ברחבי הארץ  </w:t>
      </w:r>
      <w:r w:rsidRPr="00F501EB">
        <w:rPr>
          <w:rFonts w:cs="David"/>
          <w:b/>
          <w:bCs/>
          <w:sz w:val="26"/>
          <w:szCs w:val="26"/>
          <w:u w:val="single"/>
          <w:rtl/>
        </w:rPr>
        <w:t>–</w:t>
      </w:r>
      <w:r w:rsidRPr="00F501EB">
        <w:rPr>
          <w:rFonts w:cs="David" w:hint="cs"/>
          <w:b/>
          <w:bCs/>
          <w:sz w:val="26"/>
          <w:szCs w:val="26"/>
          <w:u w:val="single"/>
          <w:rtl/>
        </w:rPr>
        <w:t xml:space="preserve"> דרישה 125721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FB6743" w:rsidP="004C149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מאושרת</w:t>
      </w:r>
      <w:r w:rsidR="004C149B" w:rsidRPr="0045103C">
        <w:rPr>
          <w:rFonts w:cs="David" w:hint="cs"/>
          <w:sz w:val="26"/>
          <w:szCs w:val="26"/>
          <w:rtl/>
        </w:rPr>
        <w:t xml:space="preserve"> </w:t>
      </w:r>
      <w:r w:rsidR="004C149B">
        <w:rPr>
          <w:rFonts w:cs="David" w:hint="cs"/>
          <w:sz w:val="26"/>
          <w:szCs w:val="26"/>
          <w:rtl/>
        </w:rPr>
        <w:t xml:space="preserve">התקשרות ללא מכרז ע"פ תקנה 3(29) לתקנות חובת המכרזים עם חברת 'גט טקסי' למתן </w:t>
      </w:r>
      <w:r w:rsidR="004C149B" w:rsidRPr="0045103C">
        <w:rPr>
          <w:rFonts w:cs="David" w:hint="cs"/>
          <w:sz w:val="26"/>
          <w:szCs w:val="26"/>
          <w:rtl/>
        </w:rPr>
        <w:t>שירותי מוניות להובלת חבילות ודברי דואר ברחבי הארץ</w:t>
      </w:r>
      <w:r w:rsidR="004C149B">
        <w:rPr>
          <w:rFonts w:cs="David" w:hint="cs"/>
          <w:sz w:val="26"/>
          <w:szCs w:val="26"/>
          <w:rtl/>
        </w:rPr>
        <w:t xml:space="preserve">  בסך של 166,000 ₪ בתוספת מע"מ לתקופה של 3 שנים, כמפורט להלן:</w:t>
      </w:r>
    </w:p>
    <w:p w:rsidR="004C149B" w:rsidRDefault="004C149B" w:rsidP="004C149B">
      <w:pPr>
        <w:pStyle w:val="a3"/>
        <w:numPr>
          <w:ilvl w:val="0"/>
          <w:numId w:val="8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סך של 36,000 ₪ השקעה בפיתוח והתאמת מערכות דואר ישראל לעבודה עם חברת 'גט טקסי'. (200 שעות * 180 ₪ לשעה)</w:t>
      </w:r>
    </w:p>
    <w:p w:rsidR="004C149B" w:rsidRDefault="004C149B" w:rsidP="004C149B">
      <w:pPr>
        <w:pStyle w:val="a3"/>
        <w:numPr>
          <w:ilvl w:val="0"/>
          <w:numId w:val="8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סכום מסגרת של עד  26,000 ₪ למתן שירותי הובלת דברי הדואר בשנת ההתקשרות הראשונה (בגין כל משלוח יחיד במחיר של 30-35 ₪, תקבל 'גט טקסי' 25-30 ₪).</w:t>
      </w:r>
    </w:p>
    <w:p w:rsidR="004C149B" w:rsidRDefault="004C149B" w:rsidP="004C149B">
      <w:pPr>
        <w:pStyle w:val="a3"/>
        <w:numPr>
          <w:ilvl w:val="0"/>
          <w:numId w:val="8"/>
        </w:numPr>
        <w:contextualSpacing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סכום מסגרת של עד 52,000 ₪ לשנה למתן שירותי הובלת דברי הדואר לשנת ההתקשרות </w:t>
      </w:r>
      <w:proofErr w:type="spellStart"/>
      <w:r>
        <w:rPr>
          <w:rFonts w:cs="David" w:hint="cs"/>
          <w:sz w:val="26"/>
          <w:szCs w:val="26"/>
          <w:rtl/>
        </w:rPr>
        <w:t>השניה</w:t>
      </w:r>
      <w:proofErr w:type="spellEnd"/>
      <w:r>
        <w:rPr>
          <w:rFonts w:cs="David" w:hint="cs"/>
          <w:sz w:val="26"/>
          <w:szCs w:val="26"/>
          <w:rtl/>
        </w:rPr>
        <w:t xml:space="preserve"> והשלישית (בהנחה שהיקף הפעילות יוכפל).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בהתאם לתקנות פורסמה באתר האינטרנט של חברת הדואר הכוונה להתקשר עם חברת 'גט טקסי' כספק יחיד לקבלת השירותים. התקבלה פניית חברת 'אורון הובלות'. בשיחה שקיימו </w:t>
      </w:r>
      <w:proofErr w:type="spellStart"/>
      <w:r>
        <w:rPr>
          <w:rFonts w:cs="David" w:hint="cs"/>
          <w:sz w:val="26"/>
          <w:szCs w:val="26"/>
          <w:rtl/>
        </w:rPr>
        <w:t>עימו</w:t>
      </w:r>
      <w:proofErr w:type="spellEnd"/>
      <w:r>
        <w:rPr>
          <w:rFonts w:cs="David" w:hint="cs"/>
          <w:sz w:val="26"/>
          <w:szCs w:val="26"/>
          <w:rtl/>
        </w:rPr>
        <w:t xml:space="preserve"> נציגי אגף מערכות מידע הובהר שאינו מסוגל לבצע את השירות הנדרש.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ע"פ התקנות ההתקשרות טעונה אישור מנכ"ל.</w:t>
      </w:r>
    </w:p>
    <w:p w:rsidR="004C149B" w:rsidRDefault="004C149B" w:rsidP="004C149B">
      <w:pPr>
        <w:jc w:val="both"/>
        <w:rPr>
          <w:rFonts w:cs="David"/>
          <w:sz w:val="26"/>
          <w:szCs w:val="26"/>
          <w:rtl/>
        </w:rPr>
      </w:pPr>
    </w:p>
    <w:p w:rsidR="004C149B" w:rsidRPr="00C91614" w:rsidRDefault="004C149B" w:rsidP="00FB6743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מאושרת לשליחות מסירת חבילות מ</w:t>
      </w:r>
      <w:r w:rsidR="00FB6743">
        <w:rPr>
          <w:rFonts w:cs="David" w:hint="cs"/>
          <w:sz w:val="26"/>
          <w:szCs w:val="26"/>
          <w:rtl/>
        </w:rPr>
        <w:t>ה</w:t>
      </w:r>
      <w:r>
        <w:rPr>
          <w:rFonts w:cs="David" w:hint="cs"/>
          <w:sz w:val="26"/>
          <w:szCs w:val="26"/>
          <w:rtl/>
        </w:rPr>
        <w:t>ירה</w:t>
      </w:r>
      <w:r w:rsidR="00FB6743">
        <w:rPr>
          <w:rFonts w:cs="David" w:hint="cs"/>
          <w:sz w:val="26"/>
          <w:szCs w:val="26"/>
          <w:rtl/>
        </w:rPr>
        <w:t xml:space="preserve"> בלבד</w:t>
      </w:r>
      <w:r>
        <w:rPr>
          <w:rFonts w:cs="David" w:hint="cs"/>
          <w:sz w:val="26"/>
          <w:szCs w:val="26"/>
          <w:rtl/>
        </w:rPr>
        <w:t>.</w:t>
      </w: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p w:rsidR="004C149B" w:rsidRDefault="004C149B" w:rsidP="004C149B">
      <w:pPr>
        <w:jc w:val="both"/>
        <w:rPr>
          <w:rFonts w:cs="David"/>
          <w:sz w:val="26"/>
          <w:szCs w:val="26"/>
          <w:u w:val="single"/>
          <w:rtl/>
        </w:rPr>
      </w:pPr>
    </w:p>
    <w:sectPr w:rsidR="004C149B" w:rsidSect="005A142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6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5C740A"/>
    <w:multiLevelType w:val="hybridMultilevel"/>
    <w:tmpl w:val="2D7C5A42"/>
    <w:lvl w:ilvl="0" w:tplc="162A9D4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0D0C20"/>
    <w:multiLevelType w:val="hybridMultilevel"/>
    <w:tmpl w:val="6B5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7A7"/>
    <w:multiLevelType w:val="multilevel"/>
    <w:tmpl w:val="6BA41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8E021E4"/>
    <w:multiLevelType w:val="hybridMultilevel"/>
    <w:tmpl w:val="4152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CCA"/>
    <w:multiLevelType w:val="hybridMultilevel"/>
    <w:tmpl w:val="2DF2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0D5"/>
    <w:multiLevelType w:val="hybridMultilevel"/>
    <w:tmpl w:val="C046EC9A"/>
    <w:lvl w:ilvl="0" w:tplc="656A270E">
      <w:start w:val="1"/>
      <w:numFmt w:val="decimal"/>
      <w:lvlText w:val="%1."/>
      <w:lvlJc w:val="left"/>
      <w:pPr>
        <w:ind w:left="719" w:hanging="360"/>
      </w:pPr>
      <w:rPr>
        <w:rFonts w:cs="Times New Roman"/>
        <w:lang w:bidi="he-IL"/>
      </w:rPr>
    </w:lvl>
    <w:lvl w:ilvl="1" w:tplc="040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7" w15:restartNumberingAfterBreak="0">
    <w:nsid w:val="5BB748DF"/>
    <w:multiLevelType w:val="hybridMultilevel"/>
    <w:tmpl w:val="F75AD696"/>
    <w:lvl w:ilvl="0" w:tplc="D5D86D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FDC4C15"/>
    <w:multiLevelType w:val="multilevel"/>
    <w:tmpl w:val="38E07C1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912926"/>
    <w:multiLevelType w:val="hybridMultilevel"/>
    <w:tmpl w:val="6CE4F326"/>
    <w:lvl w:ilvl="0" w:tplc="C9D6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C2A3A"/>
    <w:multiLevelType w:val="hybridMultilevel"/>
    <w:tmpl w:val="3D2E9DD4"/>
    <w:lvl w:ilvl="0" w:tplc="2D321EB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5098"/>
    <w:multiLevelType w:val="hybridMultilevel"/>
    <w:tmpl w:val="0B3C68F4"/>
    <w:lvl w:ilvl="0" w:tplc="0958C466">
      <w:start w:val="1"/>
      <w:numFmt w:val="hebrew1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B"/>
    <w:rsid w:val="004C149B"/>
    <w:rsid w:val="007A43E8"/>
    <w:rsid w:val="008D168F"/>
    <w:rsid w:val="00975203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5069-6BA3-4C6C-A2B9-7E252DF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9B"/>
    <w:pPr>
      <w:ind w:left="720"/>
    </w:pPr>
    <w:rPr>
      <w:lang w:eastAsia="he-IL"/>
    </w:rPr>
  </w:style>
  <w:style w:type="paragraph" w:customStyle="1" w:styleId="1">
    <w:name w:val="פיסקת רשימה1"/>
    <w:basedOn w:val="a"/>
    <w:rsid w:val="004C149B"/>
    <w:pPr>
      <w:ind w:left="720"/>
      <w:contextualSpacing/>
    </w:pPr>
    <w:rPr>
      <w:rFonts w:cs="Miriam"/>
    </w:rPr>
  </w:style>
  <w:style w:type="paragraph" w:styleId="a4">
    <w:name w:val="Balloon Text"/>
    <w:basedOn w:val="a"/>
    <w:link w:val="a5"/>
    <w:uiPriority w:val="99"/>
    <w:semiHidden/>
    <w:unhideWhenUsed/>
    <w:rsid w:val="0097520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75203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2016-11-28T08:59:00Z</cp:lastPrinted>
  <dcterms:created xsi:type="dcterms:W3CDTF">2016-11-28T08:59:00Z</dcterms:created>
  <dcterms:modified xsi:type="dcterms:W3CDTF">2016-11-28T08:59:00Z</dcterms:modified>
</cp:coreProperties>
</file>